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shd w:val="clear" w:color="auto" w:fill="FF0000"/>
        <w:tblLook w:val="04A0" w:firstRow="1" w:lastRow="0" w:firstColumn="1" w:lastColumn="0" w:noHBand="0" w:noVBand="1"/>
      </w:tblPr>
      <w:tblGrid>
        <w:gridCol w:w="10502"/>
      </w:tblGrid>
      <w:tr w:rsidR="00DC4ABC" w14:paraId="7C0A643B" w14:textId="77777777" w:rsidTr="00DC4ABC">
        <w:tc>
          <w:tcPr>
            <w:tcW w:w="10728" w:type="dxa"/>
            <w:shd w:val="clear" w:color="auto" w:fill="FF0000"/>
          </w:tcPr>
          <w:p w14:paraId="0C92EFE9" w14:textId="640E8612" w:rsidR="00DC4ABC" w:rsidRPr="00DC4ABC" w:rsidRDefault="00DC4ABC" w:rsidP="00DC4ABC">
            <w:pPr>
              <w:tabs>
                <w:tab w:val="left" w:pos="0"/>
              </w:tabs>
              <w:jc w:val="center"/>
              <w:rPr>
                <w:b/>
                <w:bCs/>
                <w:color w:val="FFFFFF" w:themeColor="background1"/>
                <w:sz w:val="36"/>
                <w:szCs w:val="36"/>
              </w:rPr>
            </w:pPr>
            <w:r w:rsidRPr="00DC4ABC">
              <w:rPr>
                <w:b/>
                <w:bCs/>
                <w:color w:val="FFFFFF" w:themeColor="background1"/>
                <w:sz w:val="36"/>
                <w:szCs w:val="36"/>
              </w:rPr>
              <w:t>FFY 2020 Nonprofit Security Grant Program (NSGP) Bulletin - 2/25/20</w:t>
            </w:r>
          </w:p>
        </w:tc>
      </w:tr>
    </w:tbl>
    <w:p w14:paraId="77930873" w14:textId="77777777" w:rsidR="00DC4ABC" w:rsidRPr="00DC4ABC" w:rsidRDefault="00DC4ABC" w:rsidP="00110D7A">
      <w:pPr>
        <w:tabs>
          <w:tab w:val="left" w:pos="0"/>
        </w:tabs>
        <w:rPr>
          <w:b/>
          <w:bCs/>
          <w:sz w:val="18"/>
          <w:szCs w:val="18"/>
        </w:rPr>
      </w:pPr>
    </w:p>
    <w:p w14:paraId="1B284CD7" w14:textId="77777777" w:rsidR="00FE6764" w:rsidRDefault="00FE6764" w:rsidP="00110D7A">
      <w:pPr>
        <w:tabs>
          <w:tab w:val="left" w:pos="0"/>
        </w:tabs>
        <w:jc w:val="both"/>
      </w:pPr>
      <w:r w:rsidRPr="00DC4ABC">
        <w:rPr>
          <w:b/>
          <w:bCs/>
        </w:rPr>
        <w:t>Please see the FFY 2020 Nonprofit Security Grant Program (NSGP) Notice of Funding Opportunity (NOFO)</w:t>
      </w:r>
      <w:r>
        <w:t xml:space="preserve">.  The FY 2020 NSGP provides funding support for physical security enhancements and other security activities to nonprofit organizations that are at high risk of a terrorist attack with broader state and local preparedness efforts. In FY 2020, multiple funding allocations have been allocated for nonprofit organizations located </w:t>
      </w:r>
      <w:r>
        <w:rPr>
          <w:color w:val="1F497D"/>
        </w:rPr>
        <w:t>in</w:t>
      </w:r>
      <w:r>
        <w:t xml:space="preserve"> the State of Nevada outside the designated urban areas and inside the Urban Area.</w:t>
      </w:r>
    </w:p>
    <w:p w14:paraId="7418A493" w14:textId="77777777" w:rsidR="00FE6764" w:rsidRDefault="00FE6764" w:rsidP="00110D7A">
      <w:pPr>
        <w:tabs>
          <w:tab w:val="left" w:pos="0"/>
        </w:tabs>
        <w:jc w:val="both"/>
      </w:pPr>
      <w:r>
        <w:t> </w:t>
      </w:r>
    </w:p>
    <w:p w14:paraId="706E9EC0" w14:textId="77777777" w:rsidR="00FE6764" w:rsidRDefault="00FE6764" w:rsidP="00110D7A">
      <w:pPr>
        <w:numPr>
          <w:ilvl w:val="0"/>
          <w:numId w:val="1"/>
        </w:numPr>
        <w:tabs>
          <w:tab w:val="left" w:pos="0"/>
        </w:tabs>
        <w:ind w:firstLine="0"/>
        <w:jc w:val="both"/>
        <w:rPr>
          <w:rFonts w:eastAsia="Times New Roman"/>
        </w:rPr>
      </w:pPr>
      <w:r>
        <w:rPr>
          <w:rFonts w:eastAsia="Times New Roman"/>
        </w:rPr>
        <w:t>Eligible applicants within the Urban Area may apply for up to $100,000.00</w:t>
      </w:r>
      <w:r>
        <w:rPr>
          <w:rFonts w:eastAsia="Times New Roman"/>
          <w:color w:val="1F497D"/>
        </w:rPr>
        <w:t>.</w:t>
      </w:r>
      <w:r>
        <w:rPr>
          <w:rFonts w:eastAsia="Times New Roman"/>
        </w:rPr>
        <w:t xml:space="preserve"> </w:t>
      </w:r>
    </w:p>
    <w:p w14:paraId="5ECD159F" w14:textId="77777777" w:rsidR="00FE6764" w:rsidRDefault="00FE6764" w:rsidP="00110D7A">
      <w:pPr>
        <w:numPr>
          <w:ilvl w:val="0"/>
          <w:numId w:val="1"/>
        </w:numPr>
        <w:tabs>
          <w:tab w:val="left" w:pos="0"/>
        </w:tabs>
        <w:ind w:firstLine="0"/>
        <w:jc w:val="both"/>
        <w:rPr>
          <w:rFonts w:eastAsia="Times New Roman"/>
        </w:rPr>
      </w:pPr>
      <w:r>
        <w:rPr>
          <w:rFonts w:eastAsia="Times New Roman"/>
        </w:rPr>
        <w:t>Eligible applicants outside of the Urban Area may apply for up to $100,000.00. </w:t>
      </w:r>
    </w:p>
    <w:p w14:paraId="7CC367EC" w14:textId="77777777" w:rsidR="00FE6764" w:rsidRDefault="00FE6764" w:rsidP="00110D7A">
      <w:pPr>
        <w:tabs>
          <w:tab w:val="left" w:pos="0"/>
        </w:tabs>
        <w:jc w:val="both"/>
      </w:pPr>
    </w:p>
    <w:p w14:paraId="6F76CFE7" w14:textId="2B89A26A" w:rsidR="00FE6764" w:rsidRDefault="00FE6764" w:rsidP="00110D7A">
      <w:pPr>
        <w:tabs>
          <w:tab w:val="left" w:pos="0"/>
        </w:tabs>
        <w:jc w:val="both"/>
      </w:pPr>
      <w:r>
        <w:t xml:space="preserve">The FY 2020 NSGP priorities are to support </w:t>
      </w:r>
      <w:proofErr w:type="gramStart"/>
      <w:r>
        <w:t xml:space="preserve">efforts </w:t>
      </w:r>
      <w:r w:rsidR="00431C12">
        <w:t xml:space="preserve"> to</w:t>
      </w:r>
      <w:proofErr w:type="gramEnd"/>
      <w:r w:rsidR="00431C12">
        <w:t xml:space="preserve"> support</w:t>
      </w:r>
      <w:r>
        <w:t>:</w:t>
      </w:r>
    </w:p>
    <w:p w14:paraId="3C12C4D5" w14:textId="77777777" w:rsidR="00FE6764" w:rsidRDefault="00FE6764" w:rsidP="00110D7A">
      <w:pPr>
        <w:pStyle w:val="Default"/>
        <w:tabs>
          <w:tab w:val="left" w:pos="0"/>
        </w:tabs>
        <w:jc w:val="both"/>
        <w:rPr>
          <w:rFonts w:ascii="Calibri" w:hAnsi="Calibri" w:cs="Calibri"/>
          <w:sz w:val="22"/>
          <w:szCs w:val="22"/>
        </w:rPr>
      </w:pPr>
    </w:p>
    <w:p w14:paraId="3715F938" w14:textId="77777777" w:rsidR="00FE6764" w:rsidRDefault="00FE6764" w:rsidP="00110D7A">
      <w:pPr>
        <w:pStyle w:val="Default"/>
        <w:numPr>
          <w:ilvl w:val="0"/>
          <w:numId w:val="2"/>
        </w:numPr>
        <w:tabs>
          <w:tab w:val="left" w:pos="0"/>
        </w:tabs>
        <w:ind w:firstLine="0"/>
        <w:jc w:val="both"/>
        <w:rPr>
          <w:rFonts w:ascii="Calibri" w:eastAsia="Times New Roman" w:hAnsi="Calibri" w:cs="Calibri"/>
          <w:sz w:val="22"/>
          <w:szCs w:val="22"/>
        </w:rPr>
      </w:pPr>
      <w:r>
        <w:rPr>
          <w:rFonts w:ascii="Calibri" w:eastAsia="Times New Roman" w:hAnsi="Calibri" w:cs="Calibri"/>
          <w:sz w:val="22"/>
          <w:szCs w:val="22"/>
        </w:rPr>
        <w:t>Enhancing the protection of soft targets/crowded places</w:t>
      </w:r>
    </w:p>
    <w:p w14:paraId="6106AB04" w14:textId="77777777" w:rsidR="00FE6764" w:rsidRDefault="00FE6764" w:rsidP="00110D7A">
      <w:pPr>
        <w:pStyle w:val="ListParagraph"/>
        <w:numPr>
          <w:ilvl w:val="0"/>
          <w:numId w:val="2"/>
        </w:numPr>
        <w:tabs>
          <w:tab w:val="left" w:pos="0"/>
        </w:tabs>
        <w:overflowPunct w:val="0"/>
        <w:autoSpaceDE w:val="0"/>
        <w:autoSpaceDN w:val="0"/>
        <w:spacing w:line="266" w:lineRule="exact"/>
        <w:ind w:firstLine="0"/>
        <w:jc w:val="both"/>
        <w:rPr>
          <w:rFonts w:eastAsia="Times New Roman"/>
        </w:rPr>
      </w:pPr>
      <w:r>
        <w:rPr>
          <w:rFonts w:eastAsia="Times New Roman"/>
        </w:rPr>
        <w:t>Effective planning;</w:t>
      </w:r>
    </w:p>
    <w:p w14:paraId="57DB91D7" w14:textId="77777777" w:rsidR="00FE6764" w:rsidRDefault="00FE6764" w:rsidP="00110D7A">
      <w:pPr>
        <w:pStyle w:val="ListParagraph"/>
        <w:numPr>
          <w:ilvl w:val="0"/>
          <w:numId w:val="2"/>
        </w:numPr>
        <w:tabs>
          <w:tab w:val="left" w:pos="0"/>
        </w:tabs>
        <w:overflowPunct w:val="0"/>
        <w:autoSpaceDE w:val="0"/>
        <w:autoSpaceDN w:val="0"/>
        <w:ind w:firstLine="0"/>
        <w:jc w:val="both"/>
        <w:rPr>
          <w:rFonts w:eastAsia="Times New Roman"/>
        </w:rPr>
      </w:pPr>
      <w:r>
        <w:rPr>
          <w:rFonts w:eastAsia="Times New Roman"/>
        </w:rPr>
        <w:t>Training and awareness campaigns</w:t>
      </w:r>
    </w:p>
    <w:p w14:paraId="1D76D9B2" w14:textId="77777777" w:rsidR="00FE6764" w:rsidRDefault="00FE6764" w:rsidP="00110D7A">
      <w:pPr>
        <w:pStyle w:val="ListParagraph"/>
        <w:numPr>
          <w:ilvl w:val="0"/>
          <w:numId w:val="2"/>
        </w:numPr>
        <w:tabs>
          <w:tab w:val="left" w:pos="0"/>
        </w:tabs>
        <w:overflowPunct w:val="0"/>
        <w:autoSpaceDE w:val="0"/>
        <w:autoSpaceDN w:val="0"/>
        <w:ind w:firstLine="0"/>
        <w:jc w:val="both"/>
        <w:rPr>
          <w:rFonts w:eastAsia="Times New Roman"/>
        </w:rPr>
      </w:pPr>
      <w:r>
        <w:rPr>
          <w:rFonts w:eastAsia="Times New Roman"/>
        </w:rPr>
        <w:t>Exercises</w:t>
      </w:r>
    </w:p>
    <w:p w14:paraId="738A4D6A" w14:textId="77777777" w:rsidR="00FE6764" w:rsidRDefault="00FE6764" w:rsidP="00110D7A">
      <w:pPr>
        <w:tabs>
          <w:tab w:val="left" w:pos="0"/>
        </w:tabs>
        <w:overflowPunct w:val="0"/>
        <w:autoSpaceDE w:val="0"/>
        <w:autoSpaceDN w:val="0"/>
        <w:jc w:val="both"/>
      </w:pPr>
    </w:p>
    <w:p w14:paraId="1BC8CDDA" w14:textId="77777777" w:rsidR="00FE6764" w:rsidRDefault="00FE6764" w:rsidP="00110D7A">
      <w:pPr>
        <w:tabs>
          <w:tab w:val="left" w:pos="0"/>
        </w:tabs>
        <w:jc w:val="both"/>
      </w:pPr>
      <w:r>
        <w:t>All applicants that are selected by DHS will be required to have policies in place for Procurement, Travel, Training, Exercise, and contractors (if hiring a contractor) before Nevada DPS DEM will issue the grant.  You may further be required to comply with Environmental Historical Preservation (EHP) should you purchase equipment. The attached budget template has information regarding EHP.</w:t>
      </w:r>
    </w:p>
    <w:p w14:paraId="018DDEDE" w14:textId="77777777" w:rsidR="00FE6764" w:rsidRDefault="00FE6764" w:rsidP="00110D7A">
      <w:pPr>
        <w:tabs>
          <w:tab w:val="left" w:pos="0"/>
        </w:tabs>
        <w:jc w:val="both"/>
      </w:pPr>
      <w:r>
        <w:t> </w:t>
      </w:r>
    </w:p>
    <w:p w14:paraId="3AABA6BE" w14:textId="77777777" w:rsidR="00FE6764" w:rsidRDefault="00FE6764" w:rsidP="00110D7A">
      <w:pPr>
        <w:tabs>
          <w:tab w:val="left" w:pos="0"/>
        </w:tabs>
        <w:jc w:val="both"/>
      </w:pPr>
      <w:r>
        <w:t>Eligible nonprofit organizations are those organizations that are:</w:t>
      </w:r>
    </w:p>
    <w:p w14:paraId="6628946C" w14:textId="77777777" w:rsidR="00FE6764" w:rsidRDefault="00FE6764" w:rsidP="00110D7A">
      <w:pPr>
        <w:tabs>
          <w:tab w:val="left" w:pos="0"/>
        </w:tabs>
        <w:autoSpaceDE w:val="0"/>
        <w:autoSpaceDN w:val="0"/>
        <w:jc w:val="both"/>
        <w:rPr>
          <w:color w:val="000000"/>
        </w:rPr>
      </w:pPr>
    </w:p>
    <w:p w14:paraId="3DD2F0E4" w14:textId="2B0534BC" w:rsidR="00FE6764" w:rsidRDefault="00FE6764" w:rsidP="00110D7A">
      <w:pPr>
        <w:tabs>
          <w:tab w:val="left" w:pos="0"/>
        </w:tabs>
        <w:autoSpaceDE w:val="0"/>
        <w:autoSpaceDN w:val="0"/>
        <w:jc w:val="both"/>
        <w:rPr>
          <w:color w:val="000000"/>
        </w:rPr>
      </w:pPr>
      <w:r>
        <w:rPr>
          <w:color w:val="000000"/>
        </w:rPr>
        <w:t xml:space="preserve">Described under section 501(c)(3) of the Internal Revenue Code of 1986 (IRC) and exempt from tax under section 501(a) of such code. </w:t>
      </w:r>
    </w:p>
    <w:p w14:paraId="01C4E0D9" w14:textId="77777777" w:rsidR="00C93557" w:rsidRDefault="00C93557" w:rsidP="00110D7A">
      <w:pPr>
        <w:tabs>
          <w:tab w:val="left" w:pos="0"/>
        </w:tabs>
        <w:autoSpaceDE w:val="0"/>
        <w:autoSpaceDN w:val="0"/>
        <w:jc w:val="both"/>
        <w:rPr>
          <w:color w:val="000000"/>
        </w:rPr>
      </w:pPr>
    </w:p>
    <w:p w14:paraId="188298A6" w14:textId="1B8B3FEB" w:rsidR="00110D7A" w:rsidRPr="00110D7A" w:rsidRDefault="00FE6764" w:rsidP="00110D7A">
      <w:pPr>
        <w:pStyle w:val="ListParagraph"/>
        <w:numPr>
          <w:ilvl w:val="0"/>
          <w:numId w:val="3"/>
        </w:numPr>
        <w:tabs>
          <w:tab w:val="left" w:pos="0"/>
        </w:tabs>
        <w:jc w:val="both"/>
        <w:rPr>
          <w:rFonts w:eastAsia="Times New Roman"/>
        </w:rPr>
      </w:pPr>
      <w:r w:rsidRPr="00110D7A">
        <w:rPr>
          <w:rFonts w:eastAsia="Times New Roman"/>
          <w:b/>
          <w:bCs/>
        </w:rPr>
        <w:t>Note</w:t>
      </w:r>
      <w:r w:rsidRPr="00110D7A">
        <w:rPr>
          <w:rFonts w:eastAsia="Times New Roman"/>
        </w:rPr>
        <w:t xml:space="preserve">: The Internal Revenue Service (IRS) does not require certain organizations such as churches, mosques, and synagogues to apply for and receive a recognition of exemption under section 501(c)(3) of the IRC. Such organizations are automatically exempt if they meet the requirements of section 501(c)(3). These organizations are not required to provide recognition of exemption. For organizations that the IRS requires to apply for and receive a recognition of exemption under section 501(c)(3), the state may or may not require recognition of exemption, </w:t>
      </w:r>
      <w:proofErr w:type="gramStart"/>
      <w:r w:rsidRPr="00110D7A">
        <w:rPr>
          <w:rFonts w:eastAsia="Times New Roman"/>
        </w:rPr>
        <w:t>as long as</w:t>
      </w:r>
      <w:proofErr w:type="gramEnd"/>
      <w:r w:rsidRPr="00110D7A">
        <w:rPr>
          <w:rFonts w:eastAsia="Times New Roman"/>
        </w:rPr>
        <w:t xml:space="preserve"> the method chosen is applied consistently</w:t>
      </w:r>
      <w:r w:rsidRPr="00110D7A">
        <w:rPr>
          <w:rFonts w:eastAsia="Times New Roman"/>
          <w:color w:val="1F487C"/>
        </w:rPr>
        <w:t xml:space="preserve">. </w:t>
      </w:r>
    </w:p>
    <w:p w14:paraId="481FD3C4" w14:textId="77777777" w:rsidR="00110D7A" w:rsidRPr="00110D7A" w:rsidRDefault="00110D7A" w:rsidP="00110D7A">
      <w:pPr>
        <w:pStyle w:val="ListParagraph"/>
        <w:tabs>
          <w:tab w:val="left" w:pos="0"/>
        </w:tabs>
        <w:jc w:val="both"/>
        <w:rPr>
          <w:rFonts w:eastAsia="Times New Roman"/>
        </w:rPr>
      </w:pPr>
    </w:p>
    <w:p w14:paraId="499606AF" w14:textId="080BE54A" w:rsidR="00110D7A" w:rsidRPr="00110D7A" w:rsidRDefault="00FE6764" w:rsidP="00110D7A">
      <w:pPr>
        <w:pStyle w:val="ListParagraph"/>
        <w:numPr>
          <w:ilvl w:val="0"/>
          <w:numId w:val="3"/>
        </w:numPr>
        <w:tabs>
          <w:tab w:val="left" w:pos="0"/>
        </w:tabs>
        <w:jc w:val="both"/>
        <w:rPr>
          <w:rFonts w:eastAsia="Times New Roman"/>
        </w:rPr>
      </w:pPr>
      <w:r w:rsidRPr="00110D7A">
        <w:rPr>
          <w:rFonts w:eastAsia="Times New Roman"/>
          <w:color w:val="000000"/>
        </w:rPr>
        <w:t>Able to demonstrate, through the application, that the organization is at high risk of a terrorist attack; and</w:t>
      </w:r>
    </w:p>
    <w:p w14:paraId="4B680E9D" w14:textId="77777777" w:rsidR="00110D7A" w:rsidRPr="00110D7A" w:rsidRDefault="00110D7A" w:rsidP="00110D7A">
      <w:pPr>
        <w:tabs>
          <w:tab w:val="left" w:pos="0"/>
        </w:tabs>
        <w:jc w:val="both"/>
        <w:rPr>
          <w:rFonts w:eastAsia="Times New Roman"/>
        </w:rPr>
      </w:pPr>
    </w:p>
    <w:p w14:paraId="4EA8D5E5" w14:textId="7D4134DD" w:rsidR="00FE6764" w:rsidRPr="00110D7A" w:rsidRDefault="00FE6764" w:rsidP="00110D7A">
      <w:pPr>
        <w:pStyle w:val="ListParagraph"/>
        <w:numPr>
          <w:ilvl w:val="0"/>
          <w:numId w:val="3"/>
        </w:numPr>
        <w:tabs>
          <w:tab w:val="left" w:pos="0"/>
        </w:tabs>
        <w:jc w:val="both"/>
        <w:rPr>
          <w:rFonts w:eastAsia="Times New Roman"/>
        </w:rPr>
      </w:pPr>
      <w:r w:rsidRPr="00110D7A">
        <w:rPr>
          <w:rFonts w:eastAsia="Times New Roman"/>
          <w:color w:val="000000"/>
        </w:rPr>
        <w:t xml:space="preserve">For NSGP-UA, located within a FY 2020 UASI-designated urban area; or for NSGP-S, located outside of a FY 2020 UASI-designated urban area. </w:t>
      </w:r>
    </w:p>
    <w:p w14:paraId="3E228297" w14:textId="77777777" w:rsidR="00FE6764" w:rsidRDefault="00FE6764" w:rsidP="00110D7A">
      <w:pPr>
        <w:tabs>
          <w:tab w:val="left" w:pos="0"/>
        </w:tabs>
        <w:autoSpaceDE w:val="0"/>
        <w:autoSpaceDN w:val="0"/>
        <w:jc w:val="both"/>
        <w:rPr>
          <w:color w:val="000000"/>
        </w:rPr>
      </w:pPr>
    </w:p>
    <w:tbl>
      <w:tblPr>
        <w:tblStyle w:val="TableGrid"/>
        <w:tblW w:w="0" w:type="auto"/>
        <w:tblInd w:w="108" w:type="dxa"/>
        <w:tblLook w:val="04A0" w:firstRow="1" w:lastRow="0" w:firstColumn="1" w:lastColumn="0" w:noHBand="0" w:noVBand="1"/>
      </w:tblPr>
      <w:tblGrid>
        <w:gridCol w:w="5186"/>
        <w:gridCol w:w="5208"/>
      </w:tblGrid>
      <w:tr w:rsidR="00431C12" w14:paraId="1FEA3AB2" w14:textId="77777777" w:rsidTr="001E56F2">
        <w:trPr>
          <w:trHeight w:val="719"/>
        </w:trPr>
        <w:tc>
          <w:tcPr>
            <w:tcW w:w="10530" w:type="dxa"/>
            <w:gridSpan w:val="2"/>
            <w:shd w:val="clear" w:color="auto" w:fill="FF0000"/>
            <w:vAlign w:val="center"/>
          </w:tcPr>
          <w:p w14:paraId="0824C005" w14:textId="77777777" w:rsidR="00037DC6" w:rsidRPr="001E56F2" w:rsidRDefault="00431C12" w:rsidP="00037DC6">
            <w:pPr>
              <w:tabs>
                <w:tab w:val="left" w:pos="0"/>
              </w:tabs>
              <w:jc w:val="center"/>
              <w:rPr>
                <w:b/>
                <w:bCs/>
                <w:color w:val="FFFFFF" w:themeColor="background1"/>
                <w:sz w:val="24"/>
                <w:szCs w:val="24"/>
              </w:rPr>
            </w:pPr>
            <w:r w:rsidRPr="001E56F2">
              <w:rPr>
                <w:b/>
                <w:bCs/>
                <w:color w:val="FFFFFF" w:themeColor="background1"/>
                <w:sz w:val="24"/>
                <w:szCs w:val="24"/>
              </w:rPr>
              <w:t>PLEASE SUBMIT YOUR COMPLETED INVESTMENT JUSTIFICATION AND BUDGET</w:t>
            </w:r>
          </w:p>
          <w:p w14:paraId="7F5CA31B" w14:textId="43A410C9" w:rsidR="00431C12" w:rsidRPr="00037DC6" w:rsidRDefault="00431C12" w:rsidP="00037DC6">
            <w:pPr>
              <w:tabs>
                <w:tab w:val="left" w:pos="0"/>
              </w:tabs>
              <w:jc w:val="center"/>
              <w:rPr>
                <w:b/>
                <w:bCs/>
                <w:color w:val="FF0000"/>
                <w:sz w:val="24"/>
                <w:szCs w:val="24"/>
              </w:rPr>
            </w:pPr>
            <w:r w:rsidRPr="001E56F2">
              <w:rPr>
                <w:b/>
                <w:bCs/>
                <w:color w:val="FFFFFF" w:themeColor="background1"/>
                <w:sz w:val="24"/>
                <w:szCs w:val="24"/>
              </w:rPr>
              <w:t>TO BOTH OF THE EMAIL ADDRESSES BELOW BY MARCH 24, 2020</w:t>
            </w:r>
            <w:bookmarkStart w:id="0" w:name="_GoBack"/>
            <w:bookmarkEnd w:id="0"/>
          </w:p>
        </w:tc>
      </w:tr>
      <w:tr w:rsidR="00431C12" w14:paraId="6B7D1C4D" w14:textId="77777777" w:rsidTr="006A282C">
        <w:trPr>
          <w:trHeight w:val="431"/>
        </w:trPr>
        <w:tc>
          <w:tcPr>
            <w:tcW w:w="5256" w:type="dxa"/>
            <w:vAlign w:val="center"/>
          </w:tcPr>
          <w:p w14:paraId="77DA8A1D" w14:textId="3FBD9738" w:rsidR="00037DC6" w:rsidRPr="00037DC6" w:rsidRDefault="00037DC6" w:rsidP="00037DC6">
            <w:pPr>
              <w:tabs>
                <w:tab w:val="left" w:pos="0"/>
              </w:tabs>
              <w:jc w:val="center"/>
              <w:rPr>
                <w:b/>
                <w:bCs/>
                <w:color w:val="FF0000"/>
              </w:rPr>
            </w:pPr>
            <w:hyperlink r:id="rId5" w:history="1">
              <w:r w:rsidRPr="00037DC6">
                <w:rPr>
                  <w:rStyle w:val="Hyperlink"/>
                  <w:b/>
                  <w:bCs/>
                </w:rPr>
                <w:t>shillcruz@dps.state.nv.us</w:t>
              </w:r>
            </w:hyperlink>
          </w:p>
        </w:tc>
        <w:tc>
          <w:tcPr>
            <w:tcW w:w="5274" w:type="dxa"/>
            <w:vAlign w:val="center"/>
          </w:tcPr>
          <w:p w14:paraId="15F1775E" w14:textId="176CB08C" w:rsidR="00037DC6" w:rsidRPr="00037DC6" w:rsidRDefault="00037DC6" w:rsidP="00037DC6">
            <w:pPr>
              <w:tabs>
                <w:tab w:val="left" w:pos="0"/>
              </w:tabs>
              <w:jc w:val="center"/>
              <w:rPr>
                <w:b/>
                <w:bCs/>
                <w:color w:val="FF0000"/>
              </w:rPr>
            </w:pPr>
            <w:hyperlink r:id="rId6" w:history="1">
              <w:r w:rsidRPr="00037DC6">
                <w:rPr>
                  <w:rStyle w:val="Hyperlink"/>
                  <w:b/>
                  <w:bCs/>
                </w:rPr>
                <w:t>dhsgrants@dps.state.nv.us</w:t>
              </w:r>
            </w:hyperlink>
          </w:p>
        </w:tc>
      </w:tr>
    </w:tbl>
    <w:p w14:paraId="7ACA3C96" w14:textId="64CB1BC7" w:rsidR="00431C12" w:rsidRPr="006A282C" w:rsidRDefault="00431C12" w:rsidP="00110D7A">
      <w:pPr>
        <w:tabs>
          <w:tab w:val="left" w:pos="0"/>
        </w:tabs>
        <w:jc w:val="both"/>
        <w:rPr>
          <w:b/>
          <w:bCs/>
          <w:color w:val="FF0000"/>
          <w:sz w:val="8"/>
          <w:szCs w:val="8"/>
          <w:highlight w:val="yellow"/>
        </w:rPr>
      </w:pPr>
    </w:p>
    <w:tbl>
      <w:tblPr>
        <w:tblStyle w:val="TableGrid"/>
        <w:tblW w:w="0" w:type="auto"/>
        <w:tblInd w:w="108" w:type="dxa"/>
        <w:tblLook w:val="04A0" w:firstRow="1" w:lastRow="0" w:firstColumn="1" w:lastColumn="0" w:noHBand="0" w:noVBand="1"/>
      </w:tblPr>
      <w:tblGrid>
        <w:gridCol w:w="5173"/>
        <w:gridCol w:w="5221"/>
      </w:tblGrid>
      <w:tr w:rsidR="006A282C" w14:paraId="4481CE0B" w14:textId="77777777" w:rsidTr="001E56F2">
        <w:trPr>
          <w:trHeight w:val="431"/>
        </w:trPr>
        <w:tc>
          <w:tcPr>
            <w:tcW w:w="10530" w:type="dxa"/>
            <w:gridSpan w:val="2"/>
            <w:shd w:val="clear" w:color="auto" w:fill="FFFF00"/>
            <w:vAlign w:val="center"/>
          </w:tcPr>
          <w:p w14:paraId="7045E57D" w14:textId="07F078CE" w:rsidR="006A282C" w:rsidRPr="00037DC6" w:rsidRDefault="006A282C" w:rsidP="00CE005A">
            <w:pPr>
              <w:tabs>
                <w:tab w:val="left" w:pos="0"/>
              </w:tabs>
              <w:jc w:val="center"/>
              <w:rPr>
                <w:b/>
                <w:bCs/>
                <w:color w:val="FF0000"/>
                <w:sz w:val="24"/>
                <w:szCs w:val="24"/>
              </w:rPr>
            </w:pPr>
            <w:r>
              <w:rPr>
                <w:b/>
                <w:bCs/>
                <w:color w:val="FF0000"/>
                <w:sz w:val="24"/>
                <w:szCs w:val="24"/>
              </w:rPr>
              <w:t>FOR QUESTIONS, PLEASE CONTACT:</w:t>
            </w:r>
          </w:p>
        </w:tc>
      </w:tr>
      <w:tr w:rsidR="006A282C" w14:paraId="3B9F19D4" w14:textId="77777777" w:rsidTr="00CE005A">
        <w:trPr>
          <w:trHeight w:val="431"/>
        </w:trPr>
        <w:tc>
          <w:tcPr>
            <w:tcW w:w="5256" w:type="dxa"/>
            <w:vAlign w:val="center"/>
          </w:tcPr>
          <w:p w14:paraId="42CA498C" w14:textId="61E00786" w:rsidR="006A282C" w:rsidRPr="001E56F2" w:rsidRDefault="006A282C" w:rsidP="00CE005A">
            <w:pPr>
              <w:tabs>
                <w:tab w:val="left" w:pos="0"/>
              </w:tabs>
              <w:jc w:val="center"/>
            </w:pPr>
            <w:r w:rsidRPr="001E56F2">
              <w:t>Sonja Williams</w:t>
            </w:r>
          </w:p>
        </w:tc>
        <w:tc>
          <w:tcPr>
            <w:tcW w:w="5274" w:type="dxa"/>
            <w:vAlign w:val="center"/>
          </w:tcPr>
          <w:p w14:paraId="6574599F" w14:textId="6970E3D4" w:rsidR="006A282C" w:rsidRPr="001E56F2" w:rsidRDefault="006A282C" w:rsidP="006A282C">
            <w:pPr>
              <w:tabs>
                <w:tab w:val="left" w:pos="0"/>
              </w:tabs>
              <w:jc w:val="center"/>
            </w:pPr>
            <w:r w:rsidRPr="001E56F2">
              <w:t xml:space="preserve">775-687-0388 or </w:t>
            </w:r>
            <w:hyperlink r:id="rId7" w:history="1">
              <w:r w:rsidRPr="001E56F2">
                <w:rPr>
                  <w:rStyle w:val="Hyperlink"/>
                  <w:b/>
                  <w:bCs/>
                  <w:color w:val="0033CC"/>
                </w:rPr>
                <w:t>swilliams@dps.state.nv.us</w:t>
              </w:r>
            </w:hyperlink>
          </w:p>
        </w:tc>
      </w:tr>
      <w:tr w:rsidR="006A282C" w14:paraId="761C47D1" w14:textId="77777777" w:rsidTr="00CE005A">
        <w:trPr>
          <w:trHeight w:val="431"/>
        </w:trPr>
        <w:tc>
          <w:tcPr>
            <w:tcW w:w="5256" w:type="dxa"/>
            <w:vAlign w:val="center"/>
          </w:tcPr>
          <w:p w14:paraId="536E6BBE" w14:textId="68D256BE" w:rsidR="006A282C" w:rsidRPr="001E56F2" w:rsidRDefault="006A282C" w:rsidP="00CE005A">
            <w:pPr>
              <w:tabs>
                <w:tab w:val="left" w:pos="0"/>
              </w:tabs>
              <w:jc w:val="center"/>
            </w:pPr>
            <w:r w:rsidRPr="001E56F2">
              <w:t>Samantha Hill-Cruz</w:t>
            </w:r>
          </w:p>
        </w:tc>
        <w:tc>
          <w:tcPr>
            <w:tcW w:w="5274" w:type="dxa"/>
            <w:vAlign w:val="center"/>
          </w:tcPr>
          <w:p w14:paraId="4E282B91" w14:textId="6D64098C" w:rsidR="006A282C" w:rsidRPr="001E56F2" w:rsidRDefault="006A282C" w:rsidP="006A282C">
            <w:pPr>
              <w:tabs>
                <w:tab w:val="left" w:pos="0"/>
              </w:tabs>
              <w:jc w:val="center"/>
            </w:pPr>
            <w:r w:rsidRPr="001E56F2">
              <w:t xml:space="preserve">775-687-0445 or </w:t>
            </w:r>
            <w:hyperlink r:id="rId8" w:history="1">
              <w:r w:rsidRPr="001E56F2">
                <w:rPr>
                  <w:rStyle w:val="Hyperlink"/>
                  <w:b/>
                  <w:bCs/>
                  <w:color w:val="0033CC"/>
                </w:rPr>
                <w:t>shillcruz@dps.state.nv.us</w:t>
              </w:r>
            </w:hyperlink>
          </w:p>
        </w:tc>
      </w:tr>
    </w:tbl>
    <w:p w14:paraId="5EF58373" w14:textId="31CF44C9" w:rsidR="006A282C" w:rsidRDefault="006A282C" w:rsidP="00110D7A">
      <w:pPr>
        <w:tabs>
          <w:tab w:val="left" w:pos="0"/>
        </w:tabs>
        <w:jc w:val="both"/>
        <w:rPr>
          <w:b/>
          <w:bCs/>
          <w:color w:val="FF0000"/>
          <w:highlight w:val="yellow"/>
        </w:rPr>
      </w:pPr>
    </w:p>
    <w:p w14:paraId="778E8F7C" w14:textId="7B313CDD" w:rsidR="006A282C" w:rsidRPr="001E56F2" w:rsidRDefault="001E56F2" w:rsidP="00110D7A">
      <w:pPr>
        <w:tabs>
          <w:tab w:val="left" w:pos="0"/>
        </w:tabs>
        <w:jc w:val="both"/>
      </w:pPr>
      <w:r w:rsidRPr="001E56F2">
        <w:t>Thank you!</w:t>
      </w:r>
    </w:p>
    <w:sectPr w:rsidR="006A282C" w:rsidRPr="001E56F2" w:rsidSect="00BE14F1">
      <w:pgSz w:w="12240" w:h="15840"/>
      <w:pgMar w:top="720"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E5A58"/>
    <w:multiLevelType w:val="hybridMultilevel"/>
    <w:tmpl w:val="111A823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6FA6106"/>
    <w:multiLevelType w:val="hybridMultilevel"/>
    <w:tmpl w:val="ABD6B85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E4B2C09"/>
    <w:multiLevelType w:val="hybridMultilevel"/>
    <w:tmpl w:val="B922BDE6"/>
    <w:lvl w:ilvl="0" w:tplc="0409000F">
      <w:start w:val="1"/>
      <w:numFmt w:val="decimal"/>
      <w:lvlText w:val="%1."/>
      <w:lvlJc w:val="left"/>
      <w:pPr>
        <w:ind w:left="720" w:hanging="360"/>
      </w:p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764"/>
    <w:rsid w:val="00037DC6"/>
    <w:rsid w:val="00110D7A"/>
    <w:rsid w:val="001E56F2"/>
    <w:rsid w:val="00431C12"/>
    <w:rsid w:val="005B35D3"/>
    <w:rsid w:val="006A282C"/>
    <w:rsid w:val="00BE14F1"/>
    <w:rsid w:val="00C93557"/>
    <w:rsid w:val="00DC4ABC"/>
    <w:rsid w:val="00EE6220"/>
    <w:rsid w:val="00FE6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A1B54"/>
  <w15:chartTrackingRefBased/>
  <w15:docId w15:val="{D44981F5-FD0D-4B3D-A22B-BA27CA488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76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6764"/>
    <w:rPr>
      <w:color w:val="0000FF"/>
      <w:u w:val="single"/>
    </w:rPr>
  </w:style>
  <w:style w:type="paragraph" w:styleId="ListParagraph">
    <w:name w:val="List Paragraph"/>
    <w:basedOn w:val="Normal"/>
    <w:uiPriority w:val="34"/>
    <w:qFormat/>
    <w:rsid w:val="00FE6764"/>
    <w:pPr>
      <w:ind w:left="720"/>
    </w:pPr>
  </w:style>
  <w:style w:type="paragraph" w:customStyle="1" w:styleId="Default">
    <w:name w:val="Default"/>
    <w:basedOn w:val="Normal"/>
    <w:rsid w:val="00FE6764"/>
    <w:pPr>
      <w:autoSpaceDE w:val="0"/>
      <w:autoSpaceDN w:val="0"/>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EE6220"/>
    <w:rPr>
      <w:color w:val="605E5C"/>
      <w:shd w:val="clear" w:color="auto" w:fill="E1DFDD"/>
    </w:rPr>
  </w:style>
  <w:style w:type="table" w:styleId="TableGrid">
    <w:name w:val="Table Grid"/>
    <w:basedOn w:val="TableNormal"/>
    <w:uiPriority w:val="59"/>
    <w:rsid w:val="00DC4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75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llcruz@dps.state.nv.us" TargetMode="External"/><Relationship Id="rId3" Type="http://schemas.openxmlformats.org/officeDocument/2006/relationships/settings" Target="settings.xml"/><Relationship Id="rId7" Type="http://schemas.openxmlformats.org/officeDocument/2006/relationships/hyperlink" Target="mailto:swilliams@dps.state.nv.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hsgrants@dps.state.nv.us" TargetMode="External"/><Relationship Id="rId5" Type="http://schemas.openxmlformats.org/officeDocument/2006/relationships/hyperlink" Target="mailto:shillcruz@dps.state.nv.u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Enterprise IT Services</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Williams</dc:creator>
  <cp:keywords/>
  <dc:description/>
  <cp:lastModifiedBy>Karen L. Hall</cp:lastModifiedBy>
  <cp:revision>2</cp:revision>
  <dcterms:created xsi:type="dcterms:W3CDTF">2020-02-25T23:25:00Z</dcterms:created>
  <dcterms:modified xsi:type="dcterms:W3CDTF">2020-02-25T23:25:00Z</dcterms:modified>
</cp:coreProperties>
</file>